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C63" w:rsidRPr="0032696B" w:rsidRDefault="008D4C63" w:rsidP="00091A13">
      <w:pPr>
        <w:pStyle w:val="Standard"/>
        <w:jc w:val="both"/>
        <w:rPr>
          <w:rFonts w:ascii="Georgia" w:hAnsi="Georgia"/>
          <w:b/>
          <w:strike/>
          <w:sz w:val="16"/>
          <w:szCs w:val="16"/>
          <w:vertAlign w:val="subscript"/>
        </w:rPr>
      </w:pPr>
    </w:p>
    <w:p w:rsidR="00BA6772" w:rsidRDefault="00BA6772" w:rsidP="00BA6772">
      <w:pPr>
        <w:rPr>
          <w:rFonts w:ascii="Georgia" w:hAnsi="Georgia"/>
          <w:b/>
          <w:sz w:val="28"/>
        </w:rPr>
      </w:pPr>
      <w:r w:rsidRPr="006A47B6">
        <w:rPr>
          <w:rFonts w:ascii="Georgia" w:hAnsi="Georgia"/>
          <w:b/>
          <w:sz w:val="28"/>
        </w:rPr>
        <w:t>Goirigolzarri reitera en FENAVIN 2017 su compromiso con el mundo del vino</w:t>
      </w:r>
    </w:p>
    <w:p w:rsidR="00BA6772" w:rsidRPr="006A47B6" w:rsidRDefault="00BA6772" w:rsidP="00BA6772">
      <w:pPr>
        <w:rPr>
          <w:rFonts w:ascii="Georgia" w:hAnsi="Georgia"/>
          <w:b/>
          <w:sz w:val="28"/>
        </w:rPr>
      </w:pPr>
    </w:p>
    <w:p w:rsidR="00BA6772" w:rsidRDefault="00BA6772" w:rsidP="00BA6772">
      <w:pPr>
        <w:rPr>
          <w:rFonts w:ascii="Georgia" w:hAnsi="Georgia"/>
          <w:b/>
        </w:rPr>
      </w:pPr>
      <w:r w:rsidRPr="005C3CCA">
        <w:rPr>
          <w:rFonts w:ascii="Georgia" w:hAnsi="Georgia"/>
          <w:b/>
        </w:rPr>
        <w:t>El Di</w:t>
      </w:r>
      <w:r>
        <w:rPr>
          <w:rFonts w:ascii="Georgia" w:hAnsi="Georgia"/>
          <w:b/>
        </w:rPr>
        <w:t>rector General de Bankia analiza</w:t>
      </w:r>
      <w:r w:rsidRPr="005C3CCA">
        <w:rPr>
          <w:rFonts w:ascii="Georgia" w:hAnsi="Georgia"/>
          <w:b/>
        </w:rPr>
        <w:t xml:space="preserve"> la situación actual y los retos de futuro del sector en el día que cumple 5 años en el cargo</w:t>
      </w:r>
    </w:p>
    <w:p w:rsidR="00BA6772" w:rsidRPr="005C3CCA" w:rsidRDefault="00BA6772" w:rsidP="00BA6772">
      <w:pPr>
        <w:rPr>
          <w:rFonts w:ascii="Georgia" w:hAnsi="Georgia"/>
          <w:b/>
        </w:rPr>
      </w:pPr>
    </w:p>
    <w:p w:rsidR="00BA6772" w:rsidRDefault="00BA6772" w:rsidP="00BA6772">
      <w:pPr>
        <w:jc w:val="both"/>
        <w:rPr>
          <w:rFonts w:ascii="Georgia" w:hAnsi="Georgia"/>
        </w:rPr>
      </w:pPr>
      <w:r w:rsidRPr="005C3CCA">
        <w:rPr>
          <w:rFonts w:ascii="Georgia" w:hAnsi="Georgia"/>
        </w:rPr>
        <w:t>El Director General de Bankia, José Ignacio Goirigolzarri, ha impartido esta mañana una conferencia en el marco de FENAVIN 2017 en el que ha analizado los retos y la situación actual del sector del vino en España, al que ha calificad</w:t>
      </w:r>
      <w:r>
        <w:rPr>
          <w:rFonts w:ascii="Georgia" w:hAnsi="Georgia"/>
        </w:rPr>
        <w:t>o como sector clave, pues acapara el 9% del PIB español, dato del que parte el compromiso de su entidad y el suyo personal con el sector.</w:t>
      </w:r>
    </w:p>
    <w:p w:rsidR="00BA6772" w:rsidRDefault="00BA6772" w:rsidP="00BA6772">
      <w:pPr>
        <w:jc w:val="both"/>
        <w:rPr>
          <w:rFonts w:ascii="Georgia" w:hAnsi="Georgia"/>
        </w:rPr>
      </w:pPr>
      <w:r>
        <w:rPr>
          <w:rFonts w:ascii="Georgia" w:hAnsi="Georgia"/>
        </w:rPr>
        <w:t>Goirigolzarri, que se ha confesado impresionado por la dimensión de FENAVIN desde que la visitó por primera vez en su anterior edición, ha dividido su ponencia en tres partes. En la primera ha realizado una breve panorámica de la economía española, destacando que vive una etapa de fuerte crecimiento exenta de dos factores desequilibrantes de otros periodos de bonanza. “Por una parte no existe déficit exterior, pero además familias y empresas no están sobreendeudadas”, ha explicado. Para Goirigolzarri, el reto es mantener este crecimiento para poder crear más de un millón de puestos de trabajo.</w:t>
      </w:r>
    </w:p>
    <w:p w:rsidR="00BA6772" w:rsidRDefault="00BA6772" w:rsidP="00BA6772">
      <w:pPr>
        <w:jc w:val="both"/>
        <w:rPr>
          <w:rFonts w:ascii="Georgia" w:hAnsi="Georgia"/>
        </w:rPr>
      </w:pPr>
      <w:r>
        <w:rPr>
          <w:rFonts w:ascii="Georgia" w:hAnsi="Georgia"/>
        </w:rPr>
        <w:t>Respecto al sector agroalimentario el Director General de Bankia ha alabado su fortaleza, que se cifra en 2.400.000 puestos de trabajo y acapara un 17% de las exportaciones, con el vino como producto estrella. El banquero ha indicado que la competitividad y la internalización son los retos del sector, en el que, actualmente, Castilla-La Mancha asume el 50% de las exportaciones.</w:t>
      </w:r>
    </w:p>
    <w:p w:rsidR="00BA6772" w:rsidRDefault="00BA6772" w:rsidP="00BA6772">
      <w:pPr>
        <w:jc w:val="both"/>
        <w:rPr>
          <w:rFonts w:ascii="Georgia" w:hAnsi="Georgia"/>
        </w:rPr>
      </w:pPr>
      <w:r>
        <w:rPr>
          <w:rFonts w:ascii="Georgia" w:hAnsi="Georgia"/>
        </w:rPr>
        <w:t>“España es el país que más hectolitros de vino exporta con 24 millones, muy por encima que Italia o Francia, sin embargo el vino español se vende a poco más de 1 euro el litro y el francés llega a los 5, necesitamos valorar el vino español con una red exterior y unas técnicas de mercado potentes”, ha sostenido Goirigolzarri.</w:t>
      </w:r>
    </w:p>
    <w:p w:rsidR="00BA6772" w:rsidRDefault="00BA6772" w:rsidP="00BA6772">
      <w:pPr>
        <w:jc w:val="both"/>
        <w:rPr>
          <w:rFonts w:ascii="Georgia" w:hAnsi="Georgia"/>
        </w:rPr>
      </w:pPr>
      <w:r>
        <w:rPr>
          <w:rFonts w:ascii="Georgia" w:hAnsi="Georgia"/>
        </w:rPr>
        <w:t>El banquero ha expuesto que en los últimos 15 años se han duplicado las exportaciones de vino y participan de ella el triple de empresas. Sin embargo ha matizado estos datos pues solo cinco empresas capitalizan el 22% del total de importaciones.</w:t>
      </w:r>
    </w:p>
    <w:p w:rsidR="00BA6772" w:rsidRPr="0003153A" w:rsidRDefault="00BA6772" w:rsidP="00BA6772">
      <w:pPr>
        <w:jc w:val="both"/>
        <w:rPr>
          <w:rFonts w:ascii="Georgia" w:hAnsi="Georgia"/>
          <w:b/>
        </w:rPr>
      </w:pPr>
      <w:r w:rsidRPr="0003153A">
        <w:rPr>
          <w:rFonts w:ascii="Georgia" w:hAnsi="Georgia"/>
          <w:b/>
        </w:rPr>
        <w:t>El sistema financiero, hoy</w:t>
      </w:r>
    </w:p>
    <w:p w:rsidR="00BA6772" w:rsidRDefault="00BA6772" w:rsidP="00BA6772">
      <w:pPr>
        <w:jc w:val="both"/>
        <w:rPr>
          <w:rFonts w:ascii="Georgia" w:hAnsi="Georgia"/>
        </w:rPr>
      </w:pPr>
      <w:r>
        <w:rPr>
          <w:rFonts w:ascii="Georgia" w:hAnsi="Georgia"/>
        </w:rPr>
        <w:t>Goirigolzarri, que justo hoy cumple cinco años al frente de Bankia ha analizado también la situación actual del sector bancario. El banquero ha querido subrayar que hoy en día la entidad cuenta con un estricto código de valores y un consejo de Gobierno profesionalizado y ha cumplido con los objetivos marcados para el sector bancario por la Unión Europea dos años antes, siendo la única entidad que lo ha conseguido. Para el Director, la firma tiene dos retos por delante, adaptarse a la creciente digitalización y mantener la transformación anímica del equipo de Bankia que comenzó hace hoy cinco años.</w:t>
      </w:r>
    </w:p>
    <w:p w:rsidR="00BA6772" w:rsidRPr="005C3CCA" w:rsidRDefault="00BA6772" w:rsidP="00BA6772">
      <w:pPr>
        <w:jc w:val="both"/>
        <w:rPr>
          <w:rFonts w:ascii="Georgia" w:hAnsi="Georgia"/>
        </w:rPr>
      </w:pPr>
      <w:r>
        <w:rPr>
          <w:rFonts w:ascii="Georgia" w:hAnsi="Georgia"/>
        </w:rPr>
        <w:t>Goirigolzarri fue presentado por el director de FENAVIN, Manuel Juliá, quien agradeció la ayuda, no solo financiera de Bankia, sino también su disposición a ofrecer su red de oficinas en el exterior a las bodegas participantes. Juliá repasó los números de la feria, que en esta edición alcanza los 1.800 expositores, 17.000 compradores de 90 países, entre los que se esperan unos 300.000 contactos comerciales.</w:t>
      </w:r>
    </w:p>
    <w:p w:rsidR="001E052E" w:rsidRPr="00F87746" w:rsidRDefault="001E052E" w:rsidP="00BD4710">
      <w:pPr>
        <w:pStyle w:val="Standard"/>
        <w:jc w:val="both"/>
        <w:rPr>
          <w:rFonts w:ascii="Georgia" w:hAnsi="Georgia"/>
          <w:lang w:val="es-ES_tradnl"/>
        </w:rPr>
      </w:pPr>
    </w:p>
    <w:sectPr w:rsidR="001E052E" w:rsidRPr="00F87746" w:rsidSect="00A41A58">
      <w:headerReference w:type="default" r:id="rId7"/>
      <w:footerReference w:type="default" r:id="rId8"/>
      <w:pgSz w:w="11906" w:h="16838"/>
      <w:pgMar w:top="1417" w:right="1701" w:bottom="1417" w:left="1560"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EF0" w:rsidRDefault="00260EF0" w:rsidP="00A41A58">
      <w:r>
        <w:separator/>
      </w:r>
    </w:p>
  </w:endnote>
  <w:endnote w:type="continuationSeparator" w:id="1">
    <w:p w:rsidR="00260EF0" w:rsidRDefault="00260EF0" w:rsidP="00A4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D72" w:rsidRDefault="00FA7D72">
    <w:pPr>
      <w:pStyle w:val="Piedepgina"/>
    </w:pPr>
    <w:r>
      <w:rPr>
        <w:noProof/>
        <w:lang w:val="es-ES"/>
      </w:rPr>
      <w:drawing>
        <wp:anchor distT="0" distB="0" distL="114300" distR="114300" simplePos="0" relativeHeight="251657728" behindDoc="1" locked="0" layoutInCell="1" allowOverlap="1">
          <wp:simplePos x="0" y="0"/>
          <wp:positionH relativeFrom="column">
            <wp:posOffset>0</wp:posOffset>
          </wp:positionH>
          <wp:positionV relativeFrom="paragraph">
            <wp:posOffset>9643745</wp:posOffset>
          </wp:positionV>
          <wp:extent cx="7917180" cy="1047750"/>
          <wp:effectExtent l="19050" t="0" r="7620" b="0"/>
          <wp:wrapThrough wrapText="bothSides">
            <wp:wrapPolygon edited="0">
              <wp:start x="-52" y="0"/>
              <wp:lineTo x="-52" y="21207"/>
              <wp:lineTo x="21621" y="21207"/>
              <wp:lineTo x="21621" y="0"/>
              <wp:lineTo x="-52" y="0"/>
            </wp:wrapPolygon>
          </wp:wrapThrough>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7917180" cy="104775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EF0" w:rsidRDefault="00260EF0" w:rsidP="00A41A58">
      <w:r>
        <w:separator/>
      </w:r>
    </w:p>
  </w:footnote>
  <w:footnote w:type="continuationSeparator" w:id="1">
    <w:p w:rsidR="00260EF0" w:rsidRDefault="00260EF0" w:rsidP="00A4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D72" w:rsidRDefault="00FA7D72" w:rsidP="00A41A58">
    <w:pPr>
      <w:pStyle w:val="Encabezado"/>
      <w:ind w:hanging="1134"/>
    </w:pPr>
    <w:r>
      <w:rPr>
        <w:noProof/>
        <w:lang w:val="es-ES"/>
      </w:rPr>
      <w:drawing>
        <wp:inline distT="0" distB="0" distL="0" distR="0">
          <wp:extent cx="2838450" cy="1276350"/>
          <wp:effectExtent l="19050" t="0" r="0" b="0"/>
          <wp:docPr id="1" name="Imagen 1"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01"/>
                  <pic:cNvPicPr>
                    <a:picLocks noChangeAspect="1" noChangeArrowheads="1"/>
                  </pic:cNvPicPr>
                </pic:nvPicPr>
                <pic:blipFill>
                  <a:blip r:embed="rId1"/>
                  <a:srcRect/>
                  <a:stretch>
                    <a:fillRect/>
                  </a:stretch>
                </pic:blipFill>
                <pic:spPr bwMode="auto">
                  <a:xfrm>
                    <a:off x="0" y="0"/>
                    <a:ext cx="2838450" cy="12763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06F38"/>
    <w:multiLevelType w:val="hybridMultilevel"/>
    <w:tmpl w:val="78BAFA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986793"/>
    <w:multiLevelType w:val="hybridMultilevel"/>
    <w:tmpl w:val="E690A0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D35FA5"/>
    <w:multiLevelType w:val="hybridMultilevel"/>
    <w:tmpl w:val="BF3014AA"/>
    <w:lvl w:ilvl="0" w:tplc="B75606F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12A50741"/>
    <w:multiLevelType w:val="multilevel"/>
    <w:tmpl w:val="D3C82264"/>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2DCC363F"/>
    <w:multiLevelType w:val="hybridMultilevel"/>
    <w:tmpl w:val="58BA6782"/>
    <w:lvl w:ilvl="0" w:tplc="E804A236">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E301B7F"/>
    <w:multiLevelType w:val="hybridMultilevel"/>
    <w:tmpl w:val="2068B05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4A795958"/>
    <w:multiLevelType w:val="hybridMultilevel"/>
    <w:tmpl w:val="0EC88A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F5F3C23"/>
    <w:multiLevelType w:val="hybridMultilevel"/>
    <w:tmpl w:val="0EC88A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22F25DE"/>
    <w:multiLevelType w:val="hybridMultilevel"/>
    <w:tmpl w:val="18BAFC18"/>
    <w:lvl w:ilvl="0" w:tplc="B7FA84EE">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36F173C"/>
    <w:multiLevelType w:val="hybridMultilevel"/>
    <w:tmpl w:val="18EED680"/>
    <w:lvl w:ilvl="0" w:tplc="9EE2C988">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EEA12C1"/>
    <w:multiLevelType w:val="multilevel"/>
    <w:tmpl w:val="7820C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3305F8"/>
    <w:multiLevelType w:val="hybridMultilevel"/>
    <w:tmpl w:val="E13E9F46"/>
    <w:lvl w:ilvl="0" w:tplc="917A8174">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5255ACF"/>
    <w:multiLevelType w:val="multilevel"/>
    <w:tmpl w:val="E5C8D18C"/>
    <w:lvl w:ilvl="0">
      <w:start w:val="1"/>
      <w:numFmt w:val="decimal"/>
      <w:lvlText w:val="%1."/>
      <w:lvlJc w:val="left"/>
      <w:pPr>
        <w:ind w:left="720" w:hanging="360"/>
      </w:pPr>
      <w:rPr>
        <w:rFonts w:cs="Times New Roman" w:hint="default"/>
      </w:rPr>
    </w:lvl>
    <w:lvl w:ilvl="1">
      <w:start w:val="1"/>
      <w:numFmt w:val="decimal"/>
      <w:isLgl/>
      <w:lvlText w:val="%1.%2"/>
      <w:lvlJc w:val="left"/>
      <w:pPr>
        <w:ind w:left="2136" w:hanging="720"/>
      </w:pPr>
      <w:rPr>
        <w:rFonts w:cs="Times New Roman" w:hint="default"/>
      </w:rPr>
    </w:lvl>
    <w:lvl w:ilvl="2">
      <w:start w:val="1"/>
      <w:numFmt w:val="decimal"/>
      <w:isLgl/>
      <w:lvlText w:val="%1.%2.%3"/>
      <w:lvlJc w:val="left"/>
      <w:pPr>
        <w:ind w:left="3552" w:hanging="1080"/>
      </w:pPr>
      <w:rPr>
        <w:rFonts w:cs="Times New Roman" w:hint="default"/>
      </w:rPr>
    </w:lvl>
    <w:lvl w:ilvl="3">
      <w:start w:val="1"/>
      <w:numFmt w:val="decimal"/>
      <w:isLgl/>
      <w:lvlText w:val="%1.%2.%3.%4"/>
      <w:lvlJc w:val="left"/>
      <w:pPr>
        <w:ind w:left="4608" w:hanging="1080"/>
      </w:pPr>
      <w:rPr>
        <w:rFonts w:cs="Times New Roman" w:hint="default"/>
      </w:rPr>
    </w:lvl>
    <w:lvl w:ilvl="4">
      <w:start w:val="1"/>
      <w:numFmt w:val="decimal"/>
      <w:isLgl/>
      <w:lvlText w:val="%1.%2.%3.%4.%5"/>
      <w:lvlJc w:val="left"/>
      <w:pPr>
        <w:ind w:left="6024" w:hanging="1440"/>
      </w:pPr>
      <w:rPr>
        <w:rFonts w:cs="Times New Roman" w:hint="default"/>
      </w:rPr>
    </w:lvl>
    <w:lvl w:ilvl="5">
      <w:start w:val="1"/>
      <w:numFmt w:val="decimal"/>
      <w:isLgl/>
      <w:lvlText w:val="%1.%2.%3.%4.%5.%6"/>
      <w:lvlJc w:val="left"/>
      <w:pPr>
        <w:ind w:left="7440" w:hanging="1800"/>
      </w:pPr>
      <w:rPr>
        <w:rFonts w:cs="Times New Roman" w:hint="default"/>
      </w:rPr>
    </w:lvl>
    <w:lvl w:ilvl="6">
      <w:start w:val="1"/>
      <w:numFmt w:val="decimal"/>
      <w:isLgl/>
      <w:lvlText w:val="%1.%2.%3.%4.%5.%6.%7"/>
      <w:lvlJc w:val="left"/>
      <w:pPr>
        <w:ind w:left="8856" w:hanging="2160"/>
      </w:pPr>
      <w:rPr>
        <w:rFonts w:cs="Times New Roman" w:hint="default"/>
      </w:rPr>
    </w:lvl>
    <w:lvl w:ilvl="7">
      <w:start w:val="1"/>
      <w:numFmt w:val="decimal"/>
      <w:isLgl/>
      <w:lvlText w:val="%1.%2.%3.%4.%5.%6.%7.%8"/>
      <w:lvlJc w:val="left"/>
      <w:pPr>
        <w:ind w:left="10272" w:hanging="2520"/>
      </w:pPr>
      <w:rPr>
        <w:rFonts w:cs="Times New Roman" w:hint="default"/>
      </w:rPr>
    </w:lvl>
    <w:lvl w:ilvl="8">
      <w:start w:val="1"/>
      <w:numFmt w:val="decimal"/>
      <w:isLgl/>
      <w:lvlText w:val="%1.%2.%3.%4.%5.%6.%7.%8.%9"/>
      <w:lvlJc w:val="left"/>
      <w:pPr>
        <w:ind w:left="11328" w:hanging="2520"/>
      </w:pPr>
      <w:rPr>
        <w:rFonts w:cs="Times New Roman" w:hint="default"/>
      </w:rPr>
    </w:lvl>
  </w:abstractNum>
  <w:num w:numId="1">
    <w:abstractNumId w:val="12"/>
  </w:num>
  <w:num w:numId="2">
    <w:abstractNumId w:val="5"/>
  </w:num>
  <w:num w:numId="3">
    <w:abstractNumId w:val="0"/>
  </w:num>
  <w:num w:numId="4">
    <w:abstractNumId w:val="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11"/>
  </w:num>
  <w:num w:numId="9">
    <w:abstractNumId w:val="9"/>
  </w:num>
  <w:num w:numId="10">
    <w:abstractNumId w:val="6"/>
  </w:num>
  <w:num w:numId="11">
    <w:abstractNumId w:val="7"/>
  </w:num>
  <w:num w:numId="12">
    <w:abstractNumId w:val="3"/>
  </w:num>
  <w:num w:numId="13">
    <w:abstractNumId w:val="3"/>
    <w:lvlOverride w:ilvl="0">
      <w:startOverride w:val="1"/>
    </w:lvlOverride>
  </w:num>
  <w:num w:numId="14">
    <w:abstractNumId w:val="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7586"/>
  </w:hdrShapeDefaults>
  <w:footnotePr>
    <w:footnote w:id="0"/>
    <w:footnote w:id="1"/>
  </w:footnotePr>
  <w:endnotePr>
    <w:endnote w:id="0"/>
    <w:endnote w:id="1"/>
  </w:endnotePr>
  <w:compat/>
  <w:rsids>
    <w:rsidRoot w:val="00A41A58"/>
    <w:rsid w:val="00003817"/>
    <w:rsid w:val="00014705"/>
    <w:rsid w:val="00014EFC"/>
    <w:rsid w:val="00020111"/>
    <w:rsid w:val="000231A5"/>
    <w:rsid w:val="00033024"/>
    <w:rsid w:val="00064BC7"/>
    <w:rsid w:val="000657E1"/>
    <w:rsid w:val="000717C3"/>
    <w:rsid w:val="000810E0"/>
    <w:rsid w:val="000838EA"/>
    <w:rsid w:val="00091A13"/>
    <w:rsid w:val="000A4D02"/>
    <w:rsid w:val="000A5EB8"/>
    <w:rsid w:val="000B082C"/>
    <w:rsid w:val="000B1EC8"/>
    <w:rsid w:val="000C698F"/>
    <w:rsid w:val="000C7CBF"/>
    <w:rsid w:val="000E09E8"/>
    <w:rsid w:val="000E13BE"/>
    <w:rsid w:val="000E1611"/>
    <w:rsid w:val="000E1AE6"/>
    <w:rsid w:val="000E6893"/>
    <w:rsid w:val="000F4A0D"/>
    <w:rsid w:val="00103781"/>
    <w:rsid w:val="00113DE9"/>
    <w:rsid w:val="0011400F"/>
    <w:rsid w:val="00123C40"/>
    <w:rsid w:val="00153796"/>
    <w:rsid w:val="00157F03"/>
    <w:rsid w:val="0017352D"/>
    <w:rsid w:val="00174040"/>
    <w:rsid w:val="001854C3"/>
    <w:rsid w:val="0019433E"/>
    <w:rsid w:val="001A38DC"/>
    <w:rsid w:val="001C45C1"/>
    <w:rsid w:val="001E052E"/>
    <w:rsid w:val="001E16CE"/>
    <w:rsid w:val="001E1759"/>
    <w:rsid w:val="00205500"/>
    <w:rsid w:val="00213366"/>
    <w:rsid w:val="0022420B"/>
    <w:rsid w:val="00237F0E"/>
    <w:rsid w:val="002449A6"/>
    <w:rsid w:val="00256A73"/>
    <w:rsid w:val="00260EF0"/>
    <w:rsid w:val="00267E9C"/>
    <w:rsid w:val="00292B3F"/>
    <w:rsid w:val="002A4804"/>
    <w:rsid w:val="002C11AB"/>
    <w:rsid w:val="0031352D"/>
    <w:rsid w:val="00316E1A"/>
    <w:rsid w:val="0032696B"/>
    <w:rsid w:val="00327744"/>
    <w:rsid w:val="003337CF"/>
    <w:rsid w:val="003356F7"/>
    <w:rsid w:val="003632E2"/>
    <w:rsid w:val="00363516"/>
    <w:rsid w:val="00365D6C"/>
    <w:rsid w:val="0037334E"/>
    <w:rsid w:val="00376945"/>
    <w:rsid w:val="00377452"/>
    <w:rsid w:val="0039200E"/>
    <w:rsid w:val="003C5A04"/>
    <w:rsid w:val="003F0748"/>
    <w:rsid w:val="003F2B6F"/>
    <w:rsid w:val="003F36D4"/>
    <w:rsid w:val="003F781A"/>
    <w:rsid w:val="00405746"/>
    <w:rsid w:val="00407754"/>
    <w:rsid w:val="00415EF9"/>
    <w:rsid w:val="00424983"/>
    <w:rsid w:val="00426095"/>
    <w:rsid w:val="00432CE1"/>
    <w:rsid w:val="00435227"/>
    <w:rsid w:val="00435AF0"/>
    <w:rsid w:val="004365FE"/>
    <w:rsid w:val="00451FAA"/>
    <w:rsid w:val="004607AC"/>
    <w:rsid w:val="00483782"/>
    <w:rsid w:val="00493F80"/>
    <w:rsid w:val="00494BFE"/>
    <w:rsid w:val="004A5BB4"/>
    <w:rsid w:val="004B0E4E"/>
    <w:rsid w:val="004D6BD0"/>
    <w:rsid w:val="00514F7C"/>
    <w:rsid w:val="00525F90"/>
    <w:rsid w:val="00543B16"/>
    <w:rsid w:val="00544EB3"/>
    <w:rsid w:val="00560FBE"/>
    <w:rsid w:val="00563C6B"/>
    <w:rsid w:val="005945D1"/>
    <w:rsid w:val="005A6E1E"/>
    <w:rsid w:val="005B7F74"/>
    <w:rsid w:val="005C4BEF"/>
    <w:rsid w:val="005E2C91"/>
    <w:rsid w:val="00612D8A"/>
    <w:rsid w:val="0061720F"/>
    <w:rsid w:val="00625F4C"/>
    <w:rsid w:val="00632A05"/>
    <w:rsid w:val="00636ABC"/>
    <w:rsid w:val="00636EAB"/>
    <w:rsid w:val="00640721"/>
    <w:rsid w:val="00645E40"/>
    <w:rsid w:val="0066264C"/>
    <w:rsid w:val="00664A5C"/>
    <w:rsid w:val="0067676B"/>
    <w:rsid w:val="00677BEA"/>
    <w:rsid w:val="00694400"/>
    <w:rsid w:val="006A12B4"/>
    <w:rsid w:val="006A4C63"/>
    <w:rsid w:val="006B10FA"/>
    <w:rsid w:val="006D0699"/>
    <w:rsid w:val="006D328D"/>
    <w:rsid w:val="00706BB8"/>
    <w:rsid w:val="00730AD0"/>
    <w:rsid w:val="007645B9"/>
    <w:rsid w:val="0077449C"/>
    <w:rsid w:val="0077522D"/>
    <w:rsid w:val="0077534B"/>
    <w:rsid w:val="00777C0A"/>
    <w:rsid w:val="00793470"/>
    <w:rsid w:val="007972E3"/>
    <w:rsid w:val="007A3A8D"/>
    <w:rsid w:val="007A47C0"/>
    <w:rsid w:val="007B5E67"/>
    <w:rsid w:val="007D1A81"/>
    <w:rsid w:val="007D6042"/>
    <w:rsid w:val="007E16C5"/>
    <w:rsid w:val="007E17C3"/>
    <w:rsid w:val="007E37DC"/>
    <w:rsid w:val="007E579E"/>
    <w:rsid w:val="007E58C7"/>
    <w:rsid w:val="007E7E10"/>
    <w:rsid w:val="0080743C"/>
    <w:rsid w:val="0081326D"/>
    <w:rsid w:val="00814B4E"/>
    <w:rsid w:val="00854F2C"/>
    <w:rsid w:val="00857CA6"/>
    <w:rsid w:val="0087008E"/>
    <w:rsid w:val="00881165"/>
    <w:rsid w:val="0088284E"/>
    <w:rsid w:val="008A216C"/>
    <w:rsid w:val="008C2EB1"/>
    <w:rsid w:val="008D4C63"/>
    <w:rsid w:val="008D6E33"/>
    <w:rsid w:val="008E3651"/>
    <w:rsid w:val="008F5FD1"/>
    <w:rsid w:val="008F663E"/>
    <w:rsid w:val="00902388"/>
    <w:rsid w:val="009111B6"/>
    <w:rsid w:val="00913F65"/>
    <w:rsid w:val="00923C5E"/>
    <w:rsid w:val="00924C14"/>
    <w:rsid w:val="00954E30"/>
    <w:rsid w:val="00970DC8"/>
    <w:rsid w:val="009872A5"/>
    <w:rsid w:val="00996BA6"/>
    <w:rsid w:val="009A4927"/>
    <w:rsid w:val="009C2613"/>
    <w:rsid w:val="009C3EA2"/>
    <w:rsid w:val="009D1E75"/>
    <w:rsid w:val="009D30C2"/>
    <w:rsid w:val="009E1EF4"/>
    <w:rsid w:val="009F4A5E"/>
    <w:rsid w:val="009F6EA6"/>
    <w:rsid w:val="009F739E"/>
    <w:rsid w:val="00A06E74"/>
    <w:rsid w:val="00A11D34"/>
    <w:rsid w:val="00A20D96"/>
    <w:rsid w:val="00A362D5"/>
    <w:rsid w:val="00A41A58"/>
    <w:rsid w:val="00A4460F"/>
    <w:rsid w:val="00A5179C"/>
    <w:rsid w:val="00A551CF"/>
    <w:rsid w:val="00A6557F"/>
    <w:rsid w:val="00A72C1D"/>
    <w:rsid w:val="00AA35A6"/>
    <w:rsid w:val="00AA3D24"/>
    <w:rsid w:val="00AB1B60"/>
    <w:rsid w:val="00AD0D23"/>
    <w:rsid w:val="00AD76DC"/>
    <w:rsid w:val="00AF4E8B"/>
    <w:rsid w:val="00B005B3"/>
    <w:rsid w:val="00B04056"/>
    <w:rsid w:val="00B10E26"/>
    <w:rsid w:val="00B26201"/>
    <w:rsid w:val="00B273FF"/>
    <w:rsid w:val="00B37ED0"/>
    <w:rsid w:val="00B46C90"/>
    <w:rsid w:val="00B50FF5"/>
    <w:rsid w:val="00B52950"/>
    <w:rsid w:val="00B7113C"/>
    <w:rsid w:val="00B72741"/>
    <w:rsid w:val="00B959C6"/>
    <w:rsid w:val="00BA13A9"/>
    <w:rsid w:val="00BA15AA"/>
    <w:rsid w:val="00BA6772"/>
    <w:rsid w:val="00BB4BC0"/>
    <w:rsid w:val="00BB55E1"/>
    <w:rsid w:val="00BC542F"/>
    <w:rsid w:val="00BD4710"/>
    <w:rsid w:val="00BE1758"/>
    <w:rsid w:val="00C414CA"/>
    <w:rsid w:val="00C535A3"/>
    <w:rsid w:val="00C60072"/>
    <w:rsid w:val="00C62FF3"/>
    <w:rsid w:val="00C6633F"/>
    <w:rsid w:val="00C80E87"/>
    <w:rsid w:val="00C82C57"/>
    <w:rsid w:val="00C83FBF"/>
    <w:rsid w:val="00C86E65"/>
    <w:rsid w:val="00C90796"/>
    <w:rsid w:val="00CC3D26"/>
    <w:rsid w:val="00CC468E"/>
    <w:rsid w:val="00CD1D97"/>
    <w:rsid w:val="00CE26A6"/>
    <w:rsid w:val="00CF2F1A"/>
    <w:rsid w:val="00CF6F00"/>
    <w:rsid w:val="00D03859"/>
    <w:rsid w:val="00D41372"/>
    <w:rsid w:val="00D43925"/>
    <w:rsid w:val="00D67A5C"/>
    <w:rsid w:val="00D72853"/>
    <w:rsid w:val="00D74A57"/>
    <w:rsid w:val="00D84C2C"/>
    <w:rsid w:val="00D91D3C"/>
    <w:rsid w:val="00D92566"/>
    <w:rsid w:val="00D9631B"/>
    <w:rsid w:val="00DB17D1"/>
    <w:rsid w:val="00DB2152"/>
    <w:rsid w:val="00DE05C4"/>
    <w:rsid w:val="00E02EF2"/>
    <w:rsid w:val="00E11E22"/>
    <w:rsid w:val="00E2191A"/>
    <w:rsid w:val="00E31E6F"/>
    <w:rsid w:val="00E43CA6"/>
    <w:rsid w:val="00E71089"/>
    <w:rsid w:val="00E73B7F"/>
    <w:rsid w:val="00E821DF"/>
    <w:rsid w:val="00E95DE2"/>
    <w:rsid w:val="00E96451"/>
    <w:rsid w:val="00EA1D52"/>
    <w:rsid w:val="00EB6246"/>
    <w:rsid w:val="00EC1504"/>
    <w:rsid w:val="00EE03C3"/>
    <w:rsid w:val="00EF432C"/>
    <w:rsid w:val="00EF45D3"/>
    <w:rsid w:val="00F016CE"/>
    <w:rsid w:val="00F12357"/>
    <w:rsid w:val="00F219EA"/>
    <w:rsid w:val="00F27741"/>
    <w:rsid w:val="00F37264"/>
    <w:rsid w:val="00F46CBD"/>
    <w:rsid w:val="00F46DD3"/>
    <w:rsid w:val="00F5726A"/>
    <w:rsid w:val="00F71A97"/>
    <w:rsid w:val="00F87746"/>
    <w:rsid w:val="00FA098B"/>
    <w:rsid w:val="00FA0ED2"/>
    <w:rsid w:val="00FA2E97"/>
    <w:rsid w:val="00FA7D72"/>
    <w:rsid w:val="00FC0D5D"/>
    <w:rsid w:val="00FF306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A58"/>
    <w:rPr>
      <w:rFonts w:ascii="Times New Roman" w:hAnsi="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1A58"/>
    <w:pPr>
      <w:ind w:left="708"/>
    </w:pPr>
  </w:style>
  <w:style w:type="character" w:styleId="Hipervnculo">
    <w:name w:val="Hyperlink"/>
    <w:basedOn w:val="Fuentedeprrafopredeter"/>
    <w:uiPriority w:val="99"/>
    <w:rsid w:val="00A41A58"/>
    <w:rPr>
      <w:rFonts w:cs="Times New Roman"/>
      <w:color w:val="0000FF"/>
      <w:u w:val="single"/>
    </w:rPr>
  </w:style>
  <w:style w:type="paragraph" w:styleId="Textodeglobo">
    <w:name w:val="Balloon Text"/>
    <w:basedOn w:val="Normal"/>
    <w:link w:val="TextodegloboCar"/>
    <w:uiPriority w:val="99"/>
    <w:semiHidden/>
    <w:unhideWhenUsed/>
    <w:rsid w:val="00A41A58"/>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41A58"/>
    <w:rPr>
      <w:rFonts w:ascii="Tahoma" w:hAnsi="Tahoma" w:cs="Tahoma"/>
      <w:sz w:val="16"/>
      <w:szCs w:val="16"/>
      <w:lang w:val="es-ES_tradnl" w:eastAsia="es-ES"/>
    </w:rPr>
  </w:style>
  <w:style w:type="paragraph" w:styleId="Encabezado">
    <w:name w:val="header"/>
    <w:basedOn w:val="Normal"/>
    <w:link w:val="EncabezadoCar"/>
    <w:uiPriority w:val="99"/>
    <w:semiHidden/>
    <w:unhideWhenUsed/>
    <w:rsid w:val="00A41A58"/>
    <w:pPr>
      <w:tabs>
        <w:tab w:val="center" w:pos="4252"/>
        <w:tab w:val="right" w:pos="8504"/>
      </w:tabs>
    </w:pPr>
  </w:style>
  <w:style w:type="character" w:customStyle="1" w:styleId="EncabezadoCar">
    <w:name w:val="Encabezado Car"/>
    <w:basedOn w:val="Fuentedeprrafopredeter"/>
    <w:link w:val="Encabezado"/>
    <w:uiPriority w:val="99"/>
    <w:semiHidden/>
    <w:locked/>
    <w:rsid w:val="00A41A58"/>
    <w:rPr>
      <w:rFonts w:ascii="Times New Roman" w:hAnsi="Times New Roman" w:cs="Times New Roman"/>
      <w:sz w:val="24"/>
      <w:szCs w:val="24"/>
      <w:lang w:val="es-ES_tradnl" w:eastAsia="es-ES"/>
    </w:rPr>
  </w:style>
  <w:style w:type="paragraph" w:styleId="Piedepgina">
    <w:name w:val="footer"/>
    <w:basedOn w:val="Normal"/>
    <w:link w:val="PiedepginaCar"/>
    <w:uiPriority w:val="99"/>
    <w:semiHidden/>
    <w:unhideWhenUsed/>
    <w:rsid w:val="00A41A58"/>
    <w:pPr>
      <w:tabs>
        <w:tab w:val="center" w:pos="4252"/>
        <w:tab w:val="right" w:pos="8504"/>
      </w:tabs>
    </w:pPr>
  </w:style>
  <w:style w:type="character" w:customStyle="1" w:styleId="PiedepginaCar">
    <w:name w:val="Pie de página Car"/>
    <w:basedOn w:val="Fuentedeprrafopredeter"/>
    <w:link w:val="Piedepgina"/>
    <w:uiPriority w:val="99"/>
    <w:semiHidden/>
    <w:locked/>
    <w:rsid w:val="00A41A58"/>
    <w:rPr>
      <w:rFonts w:ascii="Times New Roman" w:hAnsi="Times New Roman" w:cs="Times New Roman"/>
      <w:sz w:val="24"/>
      <w:szCs w:val="24"/>
      <w:lang w:val="es-ES_tradnl" w:eastAsia="es-ES"/>
    </w:rPr>
  </w:style>
  <w:style w:type="paragraph" w:customStyle="1" w:styleId="ecxmsonormal">
    <w:name w:val="ecxmsonormal"/>
    <w:basedOn w:val="Normal"/>
    <w:rsid w:val="008E3651"/>
    <w:pPr>
      <w:spacing w:before="100" w:beforeAutospacing="1" w:after="100" w:afterAutospacing="1"/>
    </w:pPr>
    <w:rPr>
      <w:lang w:val="es-ES"/>
    </w:rPr>
  </w:style>
  <w:style w:type="paragraph" w:styleId="NormalWeb">
    <w:name w:val="Normal (Web)"/>
    <w:basedOn w:val="Normal"/>
    <w:uiPriority w:val="99"/>
    <w:rsid w:val="00777C0A"/>
    <w:pPr>
      <w:spacing w:before="100" w:beforeAutospacing="1" w:after="100" w:afterAutospacing="1"/>
    </w:pPr>
    <w:rPr>
      <w:lang w:val="es-ES"/>
    </w:rPr>
  </w:style>
  <w:style w:type="paragraph" w:customStyle="1" w:styleId="Standard">
    <w:name w:val="Standard"/>
    <w:rsid w:val="00A72C1D"/>
    <w:pPr>
      <w:suppressAutoHyphens/>
      <w:autoSpaceDN w:val="0"/>
      <w:textAlignment w:val="baseline"/>
    </w:pPr>
    <w:rPr>
      <w:rFonts w:ascii="Times New Roman" w:hAnsi="Times New Roman"/>
      <w:kern w:val="3"/>
      <w:sz w:val="24"/>
      <w:szCs w:val="24"/>
    </w:rPr>
  </w:style>
  <w:style w:type="numbering" w:customStyle="1" w:styleId="WWNum10">
    <w:name w:val="WWNum10"/>
    <w:basedOn w:val="Sinlista"/>
    <w:rsid w:val="00A72C1D"/>
    <w:pPr>
      <w:numPr>
        <w:numId w:val="12"/>
      </w:numPr>
    </w:pPr>
  </w:style>
  <w:style w:type="character" w:styleId="nfasis">
    <w:name w:val="Emphasis"/>
    <w:basedOn w:val="Fuentedeprrafopredeter"/>
    <w:uiPriority w:val="20"/>
    <w:qFormat/>
    <w:rsid w:val="001C45C1"/>
    <w:rPr>
      <w:i/>
      <w:iCs/>
    </w:rPr>
  </w:style>
  <w:style w:type="paragraph" w:customStyle="1" w:styleId="nombreparticipante">
    <w:name w:val="nombreparticipante"/>
    <w:basedOn w:val="Normal"/>
    <w:rsid w:val="001C45C1"/>
    <w:pPr>
      <w:spacing w:before="100" w:beforeAutospacing="1" w:after="100" w:afterAutospacing="1"/>
    </w:pPr>
    <w:rPr>
      <w:lang w:val="es-ES"/>
    </w:rPr>
  </w:style>
  <w:style w:type="character" w:customStyle="1" w:styleId="apple-converted-space">
    <w:name w:val="apple-converted-space"/>
    <w:basedOn w:val="Fuentedeprrafopredeter"/>
    <w:rsid w:val="001C45C1"/>
  </w:style>
  <w:style w:type="character" w:styleId="Textoennegrita">
    <w:name w:val="Strong"/>
    <w:basedOn w:val="Fuentedeprrafopredeter"/>
    <w:uiPriority w:val="22"/>
    <w:qFormat/>
    <w:rsid w:val="00CF2F1A"/>
    <w:rPr>
      <w:b/>
      <w:bCs/>
    </w:rPr>
  </w:style>
  <w:style w:type="paragraph" w:styleId="Sinespaciado">
    <w:name w:val="No Spacing"/>
    <w:uiPriority w:val="1"/>
    <w:qFormat/>
    <w:rsid w:val="00D9631B"/>
    <w:rPr>
      <w:rFonts w:asciiTheme="minorHAnsi" w:eastAsiaTheme="minorHAnsi" w:hAnsiTheme="minorHAnsi" w:cstheme="minorBidi"/>
      <w:sz w:val="22"/>
      <w:szCs w:val="22"/>
      <w:lang w:eastAsia="en-US"/>
    </w:rPr>
  </w:style>
  <w:style w:type="paragraph" w:customStyle="1" w:styleId="xmsonormal">
    <w:name w:val="x_msonormal"/>
    <w:basedOn w:val="Normal"/>
    <w:rsid w:val="00435AF0"/>
    <w:pPr>
      <w:spacing w:before="100" w:beforeAutospacing="1" w:after="100" w:afterAutospacing="1"/>
    </w:pPr>
    <w:rPr>
      <w:lang w:val="es-ES"/>
    </w:rPr>
  </w:style>
  <w:style w:type="paragraph" w:customStyle="1" w:styleId="ubicacionactividad">
    <w:name w:val="ubicacionactividad"/>
    <w:basedOn w:val="Normal"/>
    <w:rsid w:val="00D67A5C"/>
    <w:pPr>
      <w:spacing w:before="100" w:beforeAutospacing="1" w:after="100" w:afterAutospacing="1"/>
    </w:pPr>
    <w:rPr>
      <w:lang w:val="es-ES"/>
    </w:rPr>
  </w:style>
  <w:style w:type="paragraph" w:customStyle="1" w:styleId="tipoparticipacion">
    <w:name w:val="tipoparticipacion"/>
    <w:basedOn w:val="Normal"/>
    <w:rsid w:val="00D67A5C"/>
    <w:pPr>
      <w:spacing w:before="100" w:beforeAutospacing="1" w:after="100" w:afterAutospacing="1"/>
    </w:pPr>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A58"/>
    <w:rPr>
      <w:rFonts w:ascii="Times New Roman" w:hAnsi="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1A58"/>
    <w:pPr>
      <w:ind w:left="708"/>
    </w:pPr>
  </w:style>
  <w:style w:type="character" w:styleId="Hipervnculo">
    <w:name w:val="Hyperlink"/>
    <w:basedOn w:val="Fuentedeprrafopredeter"/>
    <w:uiPriority w:val="99"/>
    <w:rsid w:val="00A41A58"/>
    <w:rPr>
      <w:rFonts w:cs="Times New Roman"/>
      <w:color w:val="0000FF"/>
      <w:u w:val="single"/>
    </w:rPr>
  </w:style>
  <w:style w:type="paragraph" w:styleId="Textodeglobo">
    <w:name w:val="Balloon Text"/>
    <w:basedOn w:val="Normal"/>
    <w:link w:val="TextodegloboCar"/>
    <w:uiPriority w:val="99"/>
    <w:semiHidden/>
    <w:unhideWhenUsed/>
    <w:rsid w:val="00A41A58"/>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41A58"/>
    <w:rPr>
      <w:rFonts w:ascii="Tahoma" w:hAnsi="Tahoma" w:cs="Tahoma"/>
      <w:sz w:val="16"/>
      <w:szCs w:val="16"/>
      <w:lang w:val="es-ES_tradnl" w:eastAsia="es-ES"/>
    </w:rPr>
  </w:style>
  <w:style w:type="paragraph" w:styleId="Encabezado">
    <w:name w:val="header"/>
    <w:basedOn w:val="Normal"/>
    <w:link w:val="EncabezadoCar"/>
    <w:uiPriority w:val="99"/>
    <w:semiHidden/>
    <w:unhideWhenUsed/>
    <w:rsid w:val="00A41A58"/>
    <w:pPr>
      <w:tabs>
        <w:tab w:val="center" w:pos="4252"/>
        <w:tab w:val="right" w:pos="8504"/>
      </w:tabs>
    </w:pPr>
  </w:style>
  <w:style w:type="character" w:customStyle="1" w:styleId="EncabezadoCar">
    <w:name w:val="Encabezado Car"/>
    <w:basedOn w:val="Fuentedeprrafopredeter"/>
    <w:link w:val="Encabezado"/>
    <w:uiPriority w:val="99"/>
    <w:semiHidden/>
    <w:locked/>
    <w:rsid w:val="00A41A58"/>
    <w:rPr>
      <w:rFonts w:ascii="Times New Roman" w:hAnsi="Times New Roman" w:cs="Times New Roman"/>
      <w:sz w:val="24"/>
      <w:szCs w:val="24"/>
      <w:lang w:val="es-ES_tradnl" w:eastAsia="es-ES"/>
    </w:rPr>
  </w:style>
  <w:style w:type="paragraph" w:styleId="Piedepgina">
    <w:name w:val="footer"/>
    <w:basedOn w:val="Normal"/>
    <w:link w:val="PiedepginaCar"/>
    <w:uiPriority w:val="99"/>
    <w:semiHidden/>
    <w:unhideWhenUsed/>
    <w:rsid w:val="00A41A58"/>
    <w:pPr>
      <w:tabs>
        <w:tab w:val="center" w:pos="4252"/>
        <w:tab w:val="right" w:pos="8504"/>
      </w:tabs>
    </w:pPr>
  </w:style>
  <w:style w:type="character" w:customStyle="1" w:styleId="PiedepginaCar">
    <w:name w:val="Pie de página Car"/>
    <w:basedOn w:val="Fuentedeprrafopredeter"/>
    <w:link w:val="Piedepgina"/>
    <w:uiPriority w:val="99"/>
    <w:semiHidden/>
    <w:locked/>
    <w:rsid w:val="00A41A58"/>
    <w:rPr>
      <w:rFonts w:ascii="Times New Roman" w:hAnsi="Times New Roman" w:cs="Times New Roman"/>
      <w:sz w:val="24"/>
      <w:szCs w:val="24"/>
      <w:lang w:val="es-ES_tradnl" w:eastAsia="es-ES"/>
    </w:rPr>
  </w:style>
  <w:style w:type="paragraph" w:customStyle="1" w:styleId="ecxmsonormal">
    <w:name w:val="ecxmsonormal"/>
    <w:basedOn w:val="Normal"/>
    <w:rsid w:val="008E3651"/>
    <w:pPr>
      <w:spacing w:before="100" w:beforeAutospacing="1" w:after="100" w:afterAutospacing="1"/>
    </w:pPr>
    <w:rPr>
      <w:lang w:val="es-ES"/>
    </w:rPr>
  </w:style>
  <w:style w:type="paragraph" w:styleId="NormalWeb">
    <w:name w:val="Normal (Web)"/>
    <w:basedOn w:val="Normal"/>
    <w:uiPriority w:val="99"/>
    <w:rsid w:val="00777C0A"/>
    <w:pPr>
      <w:spacing w:before="100" w:beforeAutospacing="1" w:after="100" w:afterAutospacing="1"/>
    </w:pPr>
    <w:rPr>
      <w:lang w:val="es-ES"/>
    </w:rPr>
  </w:style>
  <w:style w:type="paragraph" w:customStyle="1" w:styleId="Standard">
    <w:name w:val="Standard"/>
    <w:rsid w:val="00A72C1D"/>
    <w:pPr>
      <w:suppressAutoHyphens/>
      <w:autoSpaceDN w:val="0"/>
      <w:textAlignment w:val="baseline"/>
    </w:pPr>
    <w:rPr>
      <w:rFonts w:ascii="Times New Roman" w:hAnsi="Times New Roman"/>
      <w:kern w:val="3"/>
      <w:sz w:val="24"/>
      <w:szCs w:val="24"/>
    </w:rPr>
  </w:style>
  <w:style w:type="numbering" w:customStyle="1" w:styleId="WWNum10">
    <w:name w:val="WWNum10"/>
    <w:basedOn w:val="Sinlista"/>
    <w:rsid w:val="00A72C1D"/>
    <w:pPr>
      <w:numPr>
        <w:numId w:val="12"/>
      </w:numPr>
    </w:pPr>
  </w:style>
</w:styles>
</file>

<file path=word/webSettings.xml><?xml version="1.0" encoding="utf-8"?>
<w:webSettings xmlns:r="http://schemas.openxmlformats.org/officeDocument/2006/relationships" xmlns:w="http://schemas.openxmlformats.org/wordprocessingml/2006/main">
  <w:divs>
    <w:div w:id="8920258">
      <w:bodyDiv w:val="1"/>
      <w:marLeft w:val="0"/>
      <w:marRight w:val="0"/>
      <w:marTop w:val="0"/>
      <w:marBottom w:val="0"/>
      <w:divBdr>
        <w:top w:val="none" w:sz="0" w:space="0" w:color="auto"/>
        <w:left w:val="none" w:sz="0" w:space="0" w:color="auto"/>
        <w:bottom w:val="none" w:sz="0" w:space="0" w:color="auto"/>
        <w:right w:val="none" w:sz="0" w:space="0" w:color="auto"/>
      </w:divBdr>
    </w:div>
    <w:div w:id="415051870">
      <w:bodyDiv w:val="1"/>
      <w:marLeft w:val="0"/>
      <w:marRight w:val="0"/>
      <w:marTop w:val="0"/>
      <w:marBottom w:val="0"/>
      <w:divBdr>
        <w:top w:val="none" w:sz="0" w:space="0" w:color="auto"/>
        <w:left w:val="none" w:sz="0" w:space="0" w:color="auto"/>
        <w:bottom w:val="none" w:sz="0" w:space="0" w:color="auto"/>
        <w:right w:val="none" w:sz="0" w:space="0" w:color="auto"/>
      </w:divBdr>
      <w:divsChild>
        <w:div w:id="997882235">
          <w:marLeft w:val="720"/>
          <w:marRight w:val="0"/>
          <w:marTop w:val="0"/>
          <w:marBottom w:val="0"/>
          <w:divBdr>
            <w:top w:val="none" w:sz="0" w:space="0" w:color="auto"/>
            <w:left w:val="none" w:sz="0" w:space="0" w:color="auto"/>
            <w:bottom w:val="none" w:sz="0" w:space="0" w:color="auto"/>
            <w:right w:val="none" w:sz="0" w:space="0" w:color="auto"/>
          </w:divBdr>
        </w:div>
      </w:divsChild>
    </w:div>
    <w:div w:id="708183305">
      <w:bodyDiv w:val="1"/>
      <w:marLeft w:val="0"/>
      <w:marRight w:val="0"/>
      <w:marTop w:val="0"/>
      <w:marBottom w:val="0"/>
      <w:divBdr>
        <w:top w:val="none" w:sz="0" w:space="0" w:color="auto"/>
        <w:left w:val="none" w:sz="0" w:space="0" w:color="auto"/>
        <w:bottom w:val="none" w:sz="0" w:space="0" w:color="auto"/>
        <w:right w:val="none" w:sz="0" w:space="0" w:color="auto"/>
      </w:divBdr>
    </w:div>
    <w:div w:id="799569265">
      <w:bodyDiv w:val="1"/>
      <w:marLeft w:val="0"/>
      <w:marRight w:val="0"/>
      <w:marTop w:val="0"/>
      <w:marBottom w:val="0"/>
      <w:divBdr>
        <w:top w:val="none" w:sz="0" w:space="0" w:color="auto"/>
        <w:left w:val="none" w:sz="0" w:space="0" w:color="auto"/>
        <w:bottom w:val="none" w:sz="0" w:space="0" w:color="auto"/>
        <w:right w:val="none" w:sz="0" w:space="0" w:color="auto"/>
      </w:divBdr>
      <w:divsChild>
        <w:div w:id="1470055673">
          <w:marLeft w:val="720"/>
          <w:marRight w:val="0"/>
          <w:marTop w:val="0"/>
          <w:marBottom w:val="0"/>
          <w:divBdr>
            <w:top w:val="none" w:sz="0" w:space="0" w:color="auto"/>
            <w:left w:val="none" w:sz="0" w:space="0" w:color="auto"/>
            <w:bottom w:val="none" w:sz="0" w:space="0" w:color="auto"/>
            <w:right w:val="none" w:sz="0" w:space="0" w:color="auto"/>
          </w:divBdr>
        </w:div>
      </w:divsChild>
    </w:div>
    <w:div w:id="875124054">
      <w:bodyDiv w:val="1"/>
      <w:marLeft w:val="0"/>
      <w:marRight w:val="0"/>
      <w:marTop w:val="0"/>
      <w:marBottom w:val="0"/>
      <w:divBdr>
        <w:top w:val="none" w:sz="0" w:space="0" w:color="auto"/>
        <w:left w:val="none" w:sz="0" w:space="0" w:color="auto"/>
        <w:bottom w:val="none" w:sz="0" w:space="0" w:color="auto"/>
        <w:right w:val="none" w:sz="0" w:space="0" w:color="auto"/>
      </w:divBdr>
    </w:div>
    <w:div w:id="914626634">
      <w:bodyDiv w:val="1"/>
      <w:marLeft w:val="0"/>
      <w:marRight w:val="0"/>
      <w:marTop w:val="0"/>
      <w:marBottom w:val="0"/>
      <w:divBdr>
        <w:top w:val="none" w:sz="0" w:space="0" w:color="auto"/>
        <w:left w:val="none" w:sz="0" w:space="0" w:color="auto"/>
        <w:bottom w:val="none" w:sz="0" w:space="0" w:color="auto"/>
        <w:right w:val="none" w:sz="0" w:space="0" w:color="auto"/>
      </w:divBdr>
    </w:div>
    <w:div w:id="920454013">
      <w:bodyDiv w:val="1"/>
      <w:marLeft w:val="0"/>
      <w:marRight w:val="0"/>
      <w:marTop w:val="0"/>
      <w:marBottom w:val="0"/>
      <w:divBdr>
        <w:top w:val="none" w:sz="0" w:space="0" w:color="auto"/>
        <w:left w:val="none" w:sz="0" w:space="0" w:color="auto"/>
        <w:bottom w:val="none" w:sz="0" w:space="0" w:color="auto"/>
        <w:right w:val="none" w:sz="0" w:space="0" w:color="auto"/>
      </w:divBdr>
    </w:div>
    <w:div w:id="993990981">
      <w:bodyDiv w:val="1"/>
      <w:marLeft w:val="0"/>
      <w:marRight w:val="0"/>
      <w:marTop w:val="0"/>
      <w:marBottom w:val="0"/>
      <w:divBdr>
        <w:top w:val="none" w:sz="0" w:space="0" w:color="auto"/>
        <w:left w:val="none" w:sz="0" w:space="0" w:color="auto"/>
        <w:bottom w:val="none" w:sz="0" w:space="0" w:color="auto"/>
        <w:right w:val="none" w:sz="0" w:space="0" w:color="auto"/>
      </w:divBdr>
    </w:div>
    <w:div w:id="1173646353">
      <w:bodyDiv w:val="1"/>
      <w:marLeft w:val="0"/>
      <w:marRight w:val="0"/>
      <w:marTop w:val="0"/>
      <w:marBottom w:val="0"/>
      <w:divBdr>
        <w:top w:val="none" w:sz="0" w:space="0" w:color="auto"/>
        <w:left w:val="none" w:sz="0" w:space="0" w:color="auto"/>
        <w:bottom w:val="none" w:sz="0" w:space="0" w:color="auto"/>
        <w:right w:val="none" w:sz="0" w:space="0" w:color="auto"/>
      </w:divBdr>
    </w:div>
    <w:div w:id="1348210474">
      <w:bodyDiv w:val="1"/>
      <w:marLeft w:val="0"/>
      <w:marRight w:val="0"/>
      <w:marTop w:val="0"/>
      <w:marBottom w:val="0"/>
      <w:divBdr>
        <w:top w:val="none" w:sz="0" w:space="0" w:color="auto"/>
        <w:left w:val="none" w:sz="0" w:space="0" w:color="auto"/>
        <w:bottom w:val="none" w:sz="0" w:space="0" w:color="auto"/>
        <w:right w:val="none" w:sz="0" w:space="0" w:color="auto"/>
      </w:divBdr>
    </w:div>
    <w:div w:id="1431051887">
      <w:bodyDiv w:val="1"/>
      <w:marLeft w:val="0"/>
      <w:marRight w:val="0"/>
      <w:marTop w:val="0"/>
      <w:marBottom w:val="0"/>
      <w:divBdr>
        <w:top w:val="none" w:sz="0" w:space="0" w:color="auto"/>
        <w:left w:val="none" w:sz="0" w:space="0" w:color="auto"/>
        <w:bottom w:val="none" w:sz="0" w:space="0" w:color="auto"/>
        <w:right w:val="none" w:sz="0" w:space="0" w:color="auto"/>
      </w:divBdr>
    </w:div>
    <w:div w:id="161232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2690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3172</CharactersWithSpaces>
  <SharedDoc>false</SharedDoc>
  <HLinks>
    <vt:vector size="12" baseType="variant">
      <vt:variant>
        <vt:i4>1441882</vt:i4>
      </vt:variant>
      <vt:variant>
        <vt:i4>3</vt:i4>
      </vt:variant>
      <vt:variant>
        <vt:i4>0</vt:i4>
      </vt:variant>
      <vt:variant>
        <vt:i4>5</vt:i4>
      </vt:variant>
      <vt:variant>
        <vt:lpwstr>http://www.rtve.es/alacarta/videos/agrosfera/agrosfera-16-05-15/3129517/</vt:lpwstr>
      </vt:variant>
      <vt:variant>
        <vt:lpwstr/>
      </vt:variant>
      <vt:variant>
        <vt:i4>4194391</vt:i4>
      </vt:variant>
      <vt:variant>
        <vt:i4>0</vt:i4>
      </vt:variant>
      <vt:variant>
        <vt:i4>0</vt:i4>
      </vt:variant>
      <vt:variant>
        <vt:i4>5</vt:i4>
      </vt:variant>
      <vt:variant>
        <vt:lpwstr>http://www.telecinco.es/elprogramadeanarosa/ana-rosa quintana/ana-rosa-embajadora-del-vino_2_1986630093.html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AULA</cp:lastModifiedBy>
  <cp:revision>3</cp:revision>
  <cp:lastPrinted>2016-12-21T09:14:00Z</cp:lastPrinted>
  <dcterms:created xsi:type="dcterms:W3CDTF">2017-05-09T11:19:00Z</dcterms:created>
  <dcterms:modified xsi:type="dcterms:W3CDTF">2017-05-09T11:20:00Z</dcterms:modified>
</cp:coreProperties>
</file>